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D3131" w14:textId="794AFBC4" w:rsidR="002342F8" w:rsidRPr="00863EF7" w:rsidRDefault="00D93D7B" w:rsidP="0047118A">
      <w:pPr>
        <w:pStyle w:val="Heading1"/>
        <w:rPr>
          <w:b/>
          <w:bCs/>
        </w:rPr>
      </w:pPr>
      <w:r w:rsidRPr="00863EF7">
        <w:rPr>
          <w:b/>
          <w:bCs/>
        </w:rPr>
        <w:t xml:space="preserve">Webinar: </w:t>
      </w:r>
      <w:r w:rsidR="0047118A" w:rsidRPr="00863EF7">
        <w:rPr>
          <w:b/>
          <w:bCs/>
        </w:rPr>
        <w:t>Measurement Framework for Implementing the Centrality of Protection</w:t>
      </w:r>
    </w:p>
    <w:p w14:paraId="2F1B9D24" w14:textId="182EAF4A" w:rsidR="0047118A" w:rsidRPr="008E56BA" w:rsidRDefault="0047118A" w:rsidP="0047118A">
      <w:pPr>
        <w:pStyle w:val="Heading2"/>
        <w:rPr>
          <w:b/>
          <w:bCs/>
        </w:rPr>
      </w:pPr>
      <w:r w:rsidRPr="008E56BA">
        <w:rPr>
          <w:b/>
          <w:bCs/>
        </w:rPr>
        <w:t>Background Document</w:t>
      </w:r>
    </w:p>
    <w:p w14:paraId="011972A4" w14:textId="79A9316D" w:rsidR="0047118A" w:rsidRDefault="0047118A" w:rsidP="00D93D7B">
      <w:pPr>
        <w:jc w:val="both"/>
      </w:pPr>
      <w:r>
        <w:t>This document provides an illustrative example for discussion during the workshop. The example includes:</w:t>
      </w:r>
    </w:p>
    <w:p w14:paraId="1F25D271" w14:textId="1835CC76" w:rsidR="0047118A" w:rsidRDefault="0047118A" w:rsidP="00D93D7B">
      <w:pPr>
        <w:pStyle w:val="ListParagraph"/>
        <w:numPr>
          <w:ilvl w:val="0"/>
          <w:numId w:val="1"/>
        </w:numPr>
        <w:jc w:val="both"/>
      </w:pPr>
      <w:r w:rsidRPr="0047118A">
        <w:rPr>
          <w:b/>
          <w:bCs/>
        </w:rPr>
        <w:t>Scenario</w:t>
      </w:r>
      <w:r>
        <w:t>: a fictional scenario in which a displaced community is experiencing a protection risk.</w:t>
      </w:r>
    </w:p>
    <w:p w14:paraId="4B901A26" w14:textId="50D15D98" w:rsidR="0047118A" w:rsidRDefault="0047118A" w:rsidP="00D93D7B">
      <w:pPr>
        <w:pStyle w:val="ListParagraph"/>
        <w:numPr>
          <w:ilvl w:val="0"/>
          <w:numId w:val="1"/>
        </w:numPr>
        <w:jc w:val="both"/>
      </w:pPr>
      <w:r w:rsidRPr="0047118A">
        <w:rPr>
          <w:b/>
          <w:bCs/>
        </w:rPr>
        <w:t>Risk analysis</w:t>
      </w:r>
      <w:r>
        <w:t>: a breakdown of the components of this risk into threats, vulnerabilities and pre-existing community capacities to mitigate the risk.</w:t>
      </w:r>
    </w:p>
    <w:p w14:paraId="09DF5985" w14:textId="35BE25A3" w:rsidR="0047118A" w:rsidRDefault="0047118A" w:rsidP="00D93D7B">
      <w:pPr>
        <w:pStyle w:val="ListParagraph"/>
        <w:numPr>
          <w:ilvl w:val="0"/>
          <w:numId w:val="1"/>
        </w:numPr>
        <w:jc w:val="both"/>
      </w:pPr>
      <w:r w:rsidRPr="0047118A">
        <w:rPr>
          <w:b/>
          <w:bCs/>
        </w:rPr>
        <w:t>Possible Theory of Change</w:t>
      </w:r>
      <w:r>
        <w:t>: a possible set of activities and intended causal pathways to reduce the risk presented.</w:t>
      </w:r>
    </w:p>
    <w:p w14:paraId="6576E53E" w14:textId="7E7C3EF3" w:rsidR="0047118A" w:rsidRDefault="0047118A" w:rsidP="00D93D7B">
      <w:pPr>
        <w:pStyle w:val="ListParagraph"/>
        <w:numPr>
          <w:ilvl w:val="0"/>
          <w:numId w:val="1"/>
        </w:numPr>
        <w:jc w:val="both"/>
      </w:pPr>
      <w:r w:rsidRPr="0047118A">
        <w:rPr>
          <w:b/>
          <w:bCs/>
        </w:rPr>
        <w:t>Suggested measurement approach</w:t>
      </w:r>
      <w:r>
        <w:t>: an outline of a measurement tool to be used when measuring change in the protection risk.</w:t>
      </w:r>
    </w:p>
    <w:p w14:paraId="68245A55" w14:textId="5913001C" w:rsidR="0047118A" w:rsidRDefault="0047118A" w:rsidP="00D93D7B">
      <w:pPr>
        <w:pStyle w:val="ListParagraph"/>
        <w:numPr>
          <w:ilvl w:val="0"/>
          <w:numId w:val="1"/>
        </w:numPr>
        <w:jc w:val="both"/>
      </w:pPr>
      <w:r w:rsidRPr="0047118A">
        <w:rPr>
          <w:b/>
          <w:bCs/>
        </w:rPr>
        <w:t>Suggested progress markers to measure change</w:t>
      </w:r>
      <w:r>
        <w:t>: a suggestion of some progress markers to be used when measuring change over time.</w:t>
      </w:r>
    </w:p>
    <w:p w14:paraId="1DEF95AE" w14:textId="11C11049" w:rsidR="0047118A" w:rsidRDefault="0047118A" w:rsidP="00D93D7B">
      <w:pPr>
        <w:jc w:val="both"/>
      </w:pPr>
      <w:r>
        <w:t xml:space="preserve">The webinar facilitator will walk through each of these elements during the webinar. However, if you </w:t>
      </w:r>
      <w:proofErr w:type="gramStart"/>
      <w:r>
        <w:t>are able to</w:t>
      </w:r>
      <w:proofErr w:type="gramEnd"/>
      <w:r>
        <w:t xml:space="preserve"> review the example set beforehand, it will better prepare you for the breakout exercise</w:t>
      </w:r>
      <w:r w:rsidR="00910447">
        <w:t xml:space="preserve"> during the webinar</w:t>
      </w:r>
      <w:r>
        <w:t>.</w:t>
      </w:r>
    </w:p>
    <w:p w14:paraId="6081F295" w14:textId="77777777" w:rsidR="00D93D7B" w:rsidRDefault="00D93D7B" w:rsidP="00D93D7B">
      <w:pPr>
        <w:pStyle w:val="Heading3"/>
        <w:jc w:val="both"/>
        <w:sectPr w:rsidR="00D93D7B">
          <w:headerReference w:type="default" r:id="rId7"/>
          <w:pgSz w:w="11906" w:h="16838"/>
          <w:pgMar w:top="1440" w:right="1440" w:bottom="1440" w:left="1440" w:header="708" w:footer="708" w:gutter="0"/>
          <w:cols w:space="708"/>
          <w:docGrid w:linePitch="360"/>
        </w:sectPr>
      </w:pPr>
    </w:p>
    <w:p w14:paraId="6F421D23" w14:textId="6D06B112" w:rsidR="0047118A" w:rsidRPr="008E56BA" w:rsidRDefault="005070EE" w:rsidP="00D93D7B">
      <w:pPr>
        <w:pStyle w:val="Heading3"/>
        <w:numPr>
          <w:ilvl w:val="0"/>
          <w:numId w:val="2"/>
        </w:numPr>
        <w:rPr>
          <w:b/>
          <w:bCs/>
        </w:rPr>
      </w:pPr>
      <w:r w:rsidRPr="008E56BA">
        <w:rPr>
          <w:b/>
          <w:bCs/>
        </w:rPr>
        <w:lastRenderedPageBreak/>
        <w:t>Scenario</w:t>
      </w:r>
    </w:p>
    <w:p w14:paraId="6C51ED8C" w14:textId="77777777" w:rsidR="00D93D7B" w:rsidRPr="00D93D7B" w:rsidRDefault="00D93D7B" w:rsidP="00D93D7B"/>
    <w:p w14:paraId="3F4717D6" w14:textId="77777777" w:rsidR="00814797" w:rsidRDefault="00814797" w:rsidP="00814797">
      <w:pPr>
        <w:pStyle w:val="ListParagraph"/>
        <w:numPr>
          <w:ilvl w:val="0"/>
          <w:numId w:val="4"/>
        </w:numPr>
        <w:jc w:val="both"/>
      </w:pPr>
      <w:r w:rsidRPr="00814797">
        <w:t xml:space="preserve">A rural community experiencing ongoing food insecurity, exacerbated by climate-induced shocks, has generated large numbers of internally displaced persons (IDPs), most of whom are living in displacement camps in a different region of the country where they are an ethnic and religious minority. </w:t>
      </w:r>
    </w:p>
    <w:p w14:paraId="18F17AAE" w14:textId="77777777" w:rsidR="00814797" w:rsidRPr="00814797" w:rsidRDefault="00814797" w:rsidP="00814797">
      <w:pPr>
        <w:pStyle w:val="ListParagraph"/>
        <w:jc w:val="both"/>
      </w:pPr>
    </w:p>
    <w:p w14:paraId="256A3D24" w14:textId="77777777" w:rsidR="00814797" w:rsidRPr="00814797" w:rsidRDefault="00814797" w:rsidP="00814797">
      <w:pPr>
        <w:pStyle w:val="ListParagraph"/>
        <w:numPr>
          <w:ilvl w:val="0"/>
          <w:numId w:val="4"/>
        </w:numPr>
        <w:jc w:val="both"/>
      </w:pPr>
      <w:r w:rsidRPr="00814797">
        <w:t xml:space="preserve">The state-backed paramilitary group active in the area is hostile to the IDP population and considers them legitimate targets for attack. </w:t>
      </w:r>
    </w:p>
    <w:p w14:paraId="1C06ECB7" w14:textId="77777777" w:rsidR="00814797" w:rsidRDefault="00814797" w:rsidP="00814797">
      <w:pPr>
        <w:pStyle w:val="ListParagraph"/>
        <w:jc w:val="both"/>
      </w:pPr>
    </w:p>
    <w:p w14:paraId="77B86418" w14:textId="02FC16E4" w:rsidR="00814797" w:rsidRPr="00814797" w:rsidRDefault="00814797" w:rsidP="00814797">
      <w:pPr>
        <w:pStyle w:val="ListParagraph"/>
        <w:numPr>
          <w:ilvl w:val="0"/>
          <w:numId w:val="4"/>
        </w:numPr>
        <w:jc w:val="both"/>
      </w:pPr>
      <w:r w:rsidRPr="00814797">
        <w:t xml:space="preserve">There are recorded incidents of violence including executions carried out against men and boys when collecting firewood and foraging for food outside the camp. As a result, IDP women have begun collecting firewood and foraging instead. </w:t>
      </w:r>
    </w:p>
    <w:p w14:paraId="224BC92D" w14:textId="77777777" w:rsidR="00814797" w:rsidRDefault="00814797" w:rsidP="00814797">
      <w:pPr>
        <w:pStyle w:val="ListParagraph"/>
        <w:jc w:val="both"/>
      </w:pPr>
    </w:p>
    <w:p w14:paraId="77E4DAA3" w14:textId="50B3F1B0" w:rsidR="00814797" w:rsidRPr="00814797" w:rsidRDefault="00814797" w:rsidP="00814797">
      <w:pPr>
        <w:pStyle w:val="ListParagraph"/>
        <w:numPr>
          <w:ilvl w:val="0"/>
          <w:numId w:val="4"/>
        </w:numPr>
        <w:jc w:val="both"/>
      </w:pPr>
      <w:r w:rsidRPr="00814797">
        <w:t>High rates of sexual assault and rape are recorded against IDP women foraging and collecting firewood alone outside the camps at dawn or dusk.</w:t>
      </w:r>
    </w:p>
    <w:p w14:paraId="2F5AC69F" w14:textId="77777777" w:rsidR="00814797" w:rsidRDefault="00814797" w:rsidP="00814797">
      <w:pPr>
        <w:pStyle w:val="ListParagraph"/>
        <w:jc w:val="both"/>
      </w:pPr>
    </w:p>
    <w:p w14:paraId="21A48B0A" w14:textId="50718DD3" w:rsidR="00814797" w:rsidRPr="00814797" w:rsidRDefault="00814797" w:rsidP="00814797">
      <w:pPr>
        <w:pStyle w:val="ListParagraph"/>
        <w:numPr>
          <w:ilvl w:val="0"/>
          <w:numId w:val="4"/>
        </w:numPr>
        <w:jc w:val="both"/>
      </w:pPr>
      <w:r w:rsidRPr="00814797">
        <w:t>Attacks are committed by members of the paramilitary group. While the leaders of the armed group don’t actively encourage it, they tolerate sexual violence and fear that punishing perpetrators would diminish their control of their fighters.</w:t>
      </w:r>
    </w:p>
    <w:p w14:paraId="55A693F8" w14:textId="77777777" w:rsidR="00814797" w:rsidRDefault="00814797" w:rsidP="00814797">
      <w:pPr>
        <w:pStyle w:val="ListParagraph"/>
        <w:jc w:val="both"/>
      </w:pPr>
    </w:p>
    <w:p w14:paraId="4076C0CB" w14:textId="48829BFA" w:rsidR="00814797" w:rsidRPr="00814797" w:rsidRDefault="00814797" w:rsidP="00814797">
      <w:pPr>
        <w:pStyle w:val="ListParagraph"/>
        <w:numPr>
          <w:ilvl w:val="0"/>
          <w:numId w:val="4"/>
        </w:numPr>
        <w:jc w:val="both"/>
      </w:pPr>
      <w:r w:rsidRPr="00814797">
        <w:t>Some women have begun forming firewood collection groups, having observed that lone women experience higher levels of harassment and violence.</w:t>
      </w:r>
    </w:p>
    <w:p w14:paraId="52B6269F" w14:textId="77777777" w:rsidR="00814797" w:rsidRDefault="00814797" w:rsidP="00814797">
      <w:pPr>
        <w:pStyle w:val="ListParagraph"/>
        <w:jc w:val="both"/>
      </w:pPr>
    </w:p>
    <w:p w14:paraId="26CF147F" w14:textId="72877C3D" w:rsidR="00814797" w:rsidRPr="00814797" w:rsidRDefault="00814797" w:rsidP="00814797">
      <w:pPr>
        <w:pStyle w:val="ListParagraph"/>
        <w:numPr>
          <w:ilvl w:val="0"/>
          <w:numId w:val="4"/>
        </w:numPr>
        <w:jc w:val="both"/>
      </w:pPr>
      <w:r w:rsidRPr="00814797">
        <w:t>Social status within the IDP community is also a factor, with the highest status households typically having the resources to purchase food and firewood at the local market, which has a good supply. However, access to the market is intermittently restricted by the paramilitary group, which forces more women to collect firewood and forage for food instead.</w:t>
      </w:r>
    </w:p>
    <w:p w14:paraId="74442813" w14:textId="77777777" w:rsidR="00D93D7B" w:rsidRDefault="00D93D7B" w:rsidP="00814797">
      <w:pPr>
        <w:sectPr w:rsidR="00D93D7B">
          <w:pgSz w:w="11906" w:h="16838"/>
          <w:pgMar w:top="1440" w:right="1440" w:bottom="1440" w:left="1440" w:header="708" w:footer="708" w:gutter="0"/>
          <w:cols w:space="708"/>
          <w:docGrid w:linePitch="360"/>
        </w:sectPr>
      </w:pPr>
    </w:p>
    <w:p w14:paraId="39AD9285" w14:textId="229F6410" w:rsidR="005070EE" w:rsidRPr="008E56BA" w:rsidRDefault="005070EE" w:rsidP="00D93D7B">
      <w:pPr>
        <w:pStyle w:val="Heading3"/>
        <w:numPr>
          <w:ilvl w:val="0"/>
          <w:numId w:val="2"/>
        </w:numPr>
        <w:rPr>
          <w:b/>
          <w:bCs/>
        </w:rPr>
      </w:pPr>
      <w:r w:rsidRPr="008E56BA">
        <w:rPr>
          <w:b/>
          <w:bCs/>
        </w:rPr>
        <w:lastRenderedPageBreak/>
        <w:t>Risk Analysis</w:t>
      </w:r>
    </w:p>
    <w:p w14:paraId="59E4BEF0" w14:textId="77777777" w:rsidR="00D93D7B" w:rsidRPr="00D93D7B" w:rsidRDefault="00D93D7B" w:rsidP="00D93D7B"/>
    <w:p w14:paraId="75C25AF5" w14:textId="3069C1C8" w:rsidR="00D93D7B" w:rsidRDefault="00E13714" w:rsidP="00D93D7B">
      <w:pPr>
        <w:pStyle w:val="Heading3"/>
        <w:sectPr w:rsidR="00D93D7B" w:rsidSect="00E13714">
          <w:pgSz w:w="16838" w:h="11906" w:orient="landscape"/>
          <w:pgMar w:top="1440" w:right="1440" w:bottom="1440" w:left="1440" w:header="708" w:footer="708" w:gutter="0"/>
          <w:cols w:space="708"/>
          <w:docGrid w:linePitch="360"/>
        </w:sectPr>
      </w:pPr>
      <w:r>
        <w:rPr>
          <w:noProof/>
        </w:rPr>
        <w:drawing>
          <wp:inline distT="0" distB="0" distL="0" distR="0" wp14:anchorId="5A01B58A" wp14:editId="16B4E1C1">
            <wp:extent cx="8763000" cy="3220828"/>
            <wp:effectExtent l="0" t="0" r="0" b="0"/>
            <wp:docPr id="30233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8383" cy="3230157"/>
                    </a:xfrm>
                    <a:prstGeom prst="rect">
                      <a:avLst/>
                    </a:prstGeom>
                    <a:noFill/>
                  </pic:spPr>
                </pic:pic>
              </a:graphicData>
            </a:graphic>
          </wp:inline>
        </w:drawing>
      </w:r>
    </w:p>
    <w:p w14:paraId="38E73F02" w14:textId="489433C7" w:rsidR="005070EE" w:rsidRPr="008E56BA" w:rsidRDefault="005070EE" w:rsidP="00D93D7B">
      <w:pPr>
        <w:pStyle w:val="Heading3"/>
        <w:numPr>
          <w:ilvl w:val="0"/>
          <w:numId w:val="2"/>
        </w:numPr>
        <w:rPr>
          <w:b/>
          <w:bCs/>
        </w:rPr>
      </w:pPr>
      <w:r w:rsidRPr="008E56BA">
        <w:rPr>
          <w:b/>
          <w:bCs/>
        </w:rPr>
        <w:lastRenderedPageBreak/>
        <w:t>Theory of Change</w:t>
      </w:r>
    </w:p>
    <w:p w14:paraId="42D59D19" w14:textId="77777777" w:rsidR="00D93D7B" w:rsidRPr="00D93D7B" w:rsidRDefault="00D93D7B" w:rsidP="00D93D7B"/>
    <w:p w14:paraId="3C286529" w14:textId="167EA195" w:rsidR="00D93D7B" w:rsidRDefault="00A1104E" w:rsidP="00D93D7B">
      <w:pPr>
        <w:pStyle w:val="Heading3"/>
        <w:sectPr w:rsidR="00D93D7B" w:rsidSect="00E13714">
          <w:pgSz w:w="16838" w:h="11906" w:orient="landscape"/>
          <w:pgMar w:top="1440" w:right="1440" w:bottom="1440" w:left="1440" w:header="708" w:footer="708" w:gutter="0"/>
          <w:cols w:space="708"/>
          <w:docGrid w:linePitch="360"/>
        </w:sectPr>
      </w:pPr>
      <w:r>
        <w:rPr>
          <w:noProof/>
        </w:rPr>
        <w:drawing>
          <wp:inline distT="0" distB="0" distL="0" distR="0" wp14:anchorId="4BD7D8B9" wp14:editId="11DCBC0F">
            <wp:extent cx="8648700" cy="3588805"/>
            <wp:effectExtent l="0" t="0" r="0" b="0"/>
            <wp:docPr id="1239185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3383" cy="3603197"/>
                    </a:xfrm>
                    <a:prstGeom prst="rect">
                      <a:avLst/>
                    </a:prstGeom>
                    <a:noFill/>
                  </pic:spPr>
                </pic:pic>
              </a:graphicData>
            </a:graphic>
          </wp:inline>
        </w:drawing>
      </w:r>
    </w:p>
    <w:p w14:paraId="1E1F5D2D" w14:textId="73D5DAF7" w:rsidR="005070EE" w:rsidRPr="008E56BA" w:rsidRDefault="005070EE" w:rsidP="00D93D7B">
      <w:pPr>
        <w:pStyle w:val="Heading3"/>
        <w:numPr>
          <w:ilvl w:val="0"/>
          <w:numId w:val="2"/>
        </w:numPr>
        <w:rPr>
          <w:b/>
          <w:bCs/>
        </w:rPr>
      </w:pPr>
      <w:r w:rsidRPr="008E56BA">
        <w:rPr>
          <w:b/>
          <w:bCs/>
        </w:rPr>
        <w:lastRenderedPageBreak/>
        <w:t>Measurement Approach</w:t>
      </w:r>
    </w:p>
    <w:p w14:paraId="45C79AD5" w14:textId="77777777" w:rsidR="00D93D7B" w:rsidRPr="00D93D7B" w:rsidRDefault="00D93D7B" w:rsidP="00D93D7B"/>
    <w:p w14:paraId="74BDAEFB" w14:textId="33B6C11C" w:rsidR="00D93D7B" w:rsidRDefault="006F6472" w:rsidP="00D93D7B">
      <w:pPr>
        <w:pStyle w:val="Heading3"/>
        <w:sectPr w:rsidR="00D93D7B" w:rsidSect="006F6472">
          <w:pgSz w:w="16838" w:h="11906" w:orient="landscape"/>
          <w:pgMar w:top="1440" w:right="1440" w:bottom="1440" w:left="1440" w:header="708" w:footer="708" w:gutter="0"/>
          <w:cols w:space="708"/>
          <w:docGrid w:linePitch="360"/>
        </w:sectPr>
      </w:pPr>
      <w:r>
        <w:rPr>
          <w:noProof/>
        </w:rPr>
        <w:drawing>
          <wp:inline distT="0" distB="0" distL="0" distR="0" wp14:anchorId="719C121E" wp14:editId="7A554A89">
            <wp:extent cx="8463876" cy="3546749"/>
            <wp:effectExtent l="19050" t="19050" r="13970" b="15875"/>
            <wp:docPr id="21240814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7424" cy="3560807"/>
                    </a:xfrm>
                    <a:prstGeom prst="rect">
                      <a:avLst/>
                    </a:prstGeom>
                    <a:noFill/>
                    <a:ln>
                      <a:solidFill>
                        <a:schemeClr val="tx1"/>
                      </a:solidFill>
                    </a:ln>
                  </pic:spPr>
                </pic:pic>
              </a:graphicData>
            </a:graphic>
          </wp:inline>
        </w:drawing>
      </w:r>
    </w:p>
    <w:p w14:paraId="44A2E1E8" w14:textId="6D1776CA" w:rsidR="005070EE" w:rsidRPr="008E56BA" w:rsidRDefault="005070EE" w:rsidP="00D93D7B">
      <w:pPr>
        <w:pStyle w:val="Heading3"/>
        <w:numPr>
          <w:ilvl w:val="0"/>
          <w:numId w:val="2"/>
        </w:numPr>
        <w:rPr>
          <w:b/>
          <w:bCs/>
        </w:rPr>
      </w:pPr>
      <w:r w:rsidRPr="008E56BA">
        <w:rPr>
          <w:b/>
          <w:bCs/>
        </w:rPr>
        <w:lastRenderedPageBreak/>
        <w:t>Progress Markers</w:t>
      </w:r>
    </w:p>
    <w:p w14:paraId="2C6DEC1A" w14:textId="77777777" w:rsidR="00D93D7B" w:rsidRPr="00D93D7B" w:rsidRDefault="00D93D7B" w:rsidP="00D93D7B"/>
    <w:p w14:paraId="4F263152" w14:textId="1B45226C" w:rsidR="00D93D7B" w:rsidRPr="0047118A" w:rsidRDefault="008E56BA" w:rsidP="0047118A">
      <w:r>
        <w:rPr>
          <w:noProof/>
        </w:rPr>
        <w:drawing>
          <wp:inline distT="0" distB="0" distL="0" distR="0" wp14:anchorId="303134B0" wp14:editId="6D50DC68">
            <wp:extent cx="8720455" cy="3031845"/>
            <wp:effectExtent l="0" t="0" r="4445" b="0"/>
            <wp:docPr id="18344307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1354" cy="3039111"/>
                    </a:xfrm>
                    <a:prstGeom prst="rect">
                      <a:avLst/>
                    </a:prstGeom>
                    <a:noFill/>
                  </pic:spPr>
                </pic:pic>
              </a:graphicData>
            </a:graphic>
          </wp:inline>
        </w:drawing>
      </w:r>
    </w:p>
    <w:sectPr w:rsidR="00D93D7B" w:rsidRPr="0047118A" w:rsidSect="008E56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68C3A" w14:textId="77777777" w:rsidR="005B233F" w:rsidRDefault="005B233F" w:rsidP="005B233F">
      <w:pPr>
        <w:spacing w:after="0" w:line="240" w:lineRule="auto"/>
      </w:pPr>
      <w:r>
        <w:separator/>
      </w:r>
    </w:p>
  </w:endnote>
  <w:endnote w:type="continuationSeparator" w:id="0">
    <w:p w14:paraId="4F3E3AD5" w14:textId="77777777" w:rsidR="005B233F" w:rsidRDefault="005B233F" w:rsidP="005B2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290C" w14:textId="77777777" w:rsidR="005B233F" w:rsidRDefault="005B233F" w:rsidP="005B233F">
      <w:pPr>
        <w:spacing w:after="0" w:line="240" w:lineRule="auto"/>
      </w:pPr>
      <w:r>
        <w:separator/>
      </w:r>
    </w:p>
  </w:footnote>
  <w:footnote w:type="continuationSeparator" w:id="0">
    <w:p w14:paraId="5CD84C63" w14:textId="77777777" w:rsidR="005B233F" w:rsidRDefault="005B233F" w:rsidP="005B2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F6BAD" w14:textId="39263293" w:rsidR="005B233F" w:rsidRDefault="005B233F" w:rsidP="005B233F">
    <w:pPr>
      <w:pStyle w:val="Header"/>
      <w:jc w:val="right"/>
    </w:pPr>
    <w:r>
      <w:rPr>
        <w:noProof/>
      </w:rPr>
      <w:drawing>
        <wp:inline distT="0" distB="0" distL="0" distR="0" wp14:anchorId="096F1091" wp14:editId="5C652235">
          <wp:extent cx="657317" cy="457264"/>
          <wp:effectExtent l="0" t="0" r="9525" b="0"/>
          <wp:docPr id="1610010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10962" name="Picture 1610010962"/>
                  <pic:cNvPicPr/>
                </pic:nvPicPr>
                <pic:blipFill>
                  <a:blip r:embed="rId1">
                    <a:extLst>
                      <a:ext uri="{28A0092B-C50C-407E-A947-70E740481C1C}">
                        <a14:useLocalDpi xmlns:a14="http://schemas.microsoft.com/office/drawing/2010/main" val="0"/>
                      </a:ext>
                    </a:extLst>
                  </a:blip>
                  <a:stretch>
                    <a:fillRect/>
                  </a:stretch>
                </pic:blipFill>
                <pic:spPr>
                  <a:xfrm>
                    <a:off x="0" y="0"/>
                    <a:ext cx="657317" cy="457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D390C"/>
    <w:multiLevelType w:val="hybridMultilevel"/>
    <w:tmpl w:val="EEC0D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EE1213"/>
    <w:multiLevelType w:val="hybridMultilevel"/>
    <w:tmpl w:val="A2841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E26A97"/>
    <w:multiLevelType w:val="hybridMultilevel"/>
    <w:tmpl w:val="F6F4960E"/>
    <w:lvl w:ilvl="0" w:tplc="0104782E">
      <w:start w:val="1"/>
      <w:numFmt w:val="bullet"/>
      <w:lvlText w:val="o"/>
      <w:lvlJc w:val="left"/>
      <w:pPr>
        <w:tabs>
          <w:tab w:val="num" w:pos="720"/>
        </w:tabs>
        <w:ind w:left="720" w:hanging="360"/>
      </w:pPr>
      <w:rPr>
        <w:rFonts w:ascii="Courier New" w:hAnsi="Courier New" w:hint="default"/>
      </w:rPr>
    </w:lvl>
    <w:lvl w:ilvl="1" w:tplc="0BB43670" w:tentative="1">
      <w:start w:val="1"/>
      <w:numFmt w:val="bullet"/>
      <w:lvlText w:val="o"/>
      <w:lvlJc w:val="left"/>
      <w:pPr>
        <w:tabs>
          <w:tab w:val="num" w:pos="1440"/>
        </w:tabs>
        <w:ind w:left="1440" w:hanging="360"/>
      </w:pPr>
      <w:rPr>
        <w:rFonts w:ascii="Courier New" w:hAnsi="Courier New" w:hint="default"/>
      </w:rPr>
    </w:lvl>
    <w:lvl w:ilvl="2" w:tplc="B7F4AE40" w:tentative="1">
      <w:start w:val="1"/>
      <w:numFmt w:val="bullet"/>
      <w:lvlText w:val="o"/>
      <w:lvlJc w:val="left"/>
      <w:pPr>
        <w:tabs>
          <w:tab w:val="num" w:pos="2160"/>
        </w:tabs>
        <w:ind w:left="2160" w:hanging="360"/>
      </w:pPr>
      <w:rPr>
        <w:rFonts w:ascii="Courier New" w:hAnsi="Courier New" w:hint="default"/>
      </w:rPr>
    </w:lvl>
    <w:lvl w:ilvl="3" w:tplc="641A9C9C" w:tentative="1">
      <w:start w:val="1"/>
      <w:numFmt w:val="bullet"/>
      <w:lvlText w:val="o"/>
      <w:lvlJc w:val="left"/>
      <w:pPr>
        <w:tabs>
          <w:tab w:val="num" w:pos="2880"/>
        </w:tabs>
        <w:ind w:left="2880" w:hanging="360"/>
      </w:pPr>
      <w:rPr>
        <w:rFonts w:ascii="Courier New" w:hAnsi="Courier New" w:hint="default"/>
      </w:rPr>
    </w:lvl>
    <w:lvl w:ilvl="4" w:tplc="8F58870C" w:tentative="1">
      <w:start w:val="1"/>
      <w:numFmt w:val="bullet"/>
      <w:lvlText w:val="o"/>
      <w:lvlJc w:val="left"/>
      <w:pPr>
        <w:tabs>
          <w:tab w:val="num" w:pos="3600"/>
        </w:tabs>
        <w:ind w:left="3600" w:hanging="360"/>
      </w:pPr>
      <w:rPr>
        <w:rFonts w:ascii="Courier New" w:hAnsi="Courier New" w:hint="default"/>
      </w:rPr>
    </w:lvl>
    <w:lvl w:ilvl="5" w:tplc="5824B5BA" w:tentative="1">
      <w:start w:val="1"/>
      <w:numFmt w:val="bullet"/>
      <w:lvlText w:val="o"/>
      <w:lvlJc w:val="left"/>
      <w:pPr>
        <w:tabs>
          <w:tab w:val="num" w:pos="4320"/>
        </w:tabs>
        <w:ind w:left="4320" w:hanging="360"/>
      </w:pPr>
      <w:rPr>
        <w:rFonts w:ascii="Courier New" w:hAnsi="Courier New" w:hint="default"/>
      </w:rPr>
    </w:lvl>
    <w:lvl w:ilvl="6" w:tplc="56E4F566" w:tentative="1">
      <w:start w:val="1"/>
      <w:numFmt w:val="bullet"/>
      <w:lvlText w:val="o"/>
      <w:lvlJc w:val="left"/>
      <w:pPr>
        <w:tabs>
          <w:tab w:val="num" w:pos="5040"/>
        </w:tabs>
        <w:ind w:left="5040" w:hanging="360"/>
      </w:pPr>
      <w:rPr>
        <w:rFonts w:ascii="Courier New" w:hAnsi="Courier New" w:hint="default"/>
      </w:rPr>
    </w:lvl>
    <w:lvl w:ilvl="7" w:tplc="CD7215AE" w:tentative="1">
      <w:start w:val="1"/>
      <w:numFmt w:val="bullet"/>
      <w:lvlText w:val="o"/>
      <w:lvlJc w:val="left"/>
      <w:pPr>
        <w:tabs>
          <w:tab w:val="num" w:pos="5760"/>
        </w:tabs>
        <w:ind w:left="5760" w:hanging="360"/>
      </w:pPr>
      <w:rPr>
        <w:rFonts w:ascii="Courier New" w:hAnsi="Courier New" w:hint="default"/>
      </w:rPr>
    </w:lvl>
    <w:lvl w:ilvl="8" w:tplc="1B7CA4F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703749D5"/>
    <w:multiLevelType w:val="hybridMultilevel"/>
    <w:tmpl w:val="5F50E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327631">
    <w:abstractNumId w:val="0"/>
  </w:num>
  <w:num w:numId="2" w16cid:durableId="694771913">
    <w:abstractNumId w:val="1"/>
  </w:num>
  <w:num w:numId="3" w16cid:durableId="57215062">
    <w:abstractNumId w:val="2"/>
  </w:num>
  <w:num w:numId="4" w16cid:durableId="826745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8A"/>
    <w:rsid w:val="00206BB1"/>
    <w:rsid w:val="002342F8"/>
    <w:rsid w:val="002E274E"/>
    <w:rsid w:val="003343DD"/>
    <w:rsid w:val="00424ACB"/>
    <w:rsid w:val="0047118A"/>
    <w:rsid w:val="005070EE"/>
    <w:rsid w:val="005B233F"/>
    <w:rsid w:val="006F6472"/>
    <w:rsid w:val="007822F0"/>
    <w:rsid w:val="00814797"/>
    <w:rsid w:val="00863EF7"/>
    <w:rsid w:val="008E56BA"/>
    <w:rsid w:val="00910447"/>
    <w:rsid w:val="00921A7D"/>
    <w:rsid w:val="00A1104E"/>
    <w:rsid w:val="00C13D4F"/>
    <w:rsid w:val="00CB19DC"/>
    <w:rsid w:val="00D93D7B"/>
    <w:rsid w:val="00E13714"/>
    <w:rsid w:val="00EE1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19B71F"/>
  <w15:chartTrackingRefBased/>
  <w15:docId w15:val="{EBFC4829-19E2-4082-A96C-D807C59A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1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1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1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1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18A"/>
    <w:rPr>
      <w:rFonts w:eastAsiaTheme="majorEastAsia" w:cstheme="majorBidi"/>
      <w:color w:val="272727" w:themeColor="text1" w:themeTint="D8"/>
    </w:rPr>
  </w:style>
  <w:style w:type="paragraph" w:styleId="Title">
    <w:name w:val="Title"/>
    <w:basedOn w:val="Normal"/>
    <w:next w:val="Normal"/>
    <w:link w:val="TitleChar"/>
    <w:uiPriority w:val="10"/>
    <w:qFormat/>
    <w:rsid w:val="00471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18A"/>
    <w:pPr>
      <w:spacing w:before="160"/>
      <w:jc w:val="center"/>
    </w:pPr>
    <w:rPr>
      <w:i/>
      <w:iCs/>
      <w:color w:val="404040" w:themeColor="text1" w:themeTint="BF"/>
    </w:rPr>
  </w:style>
  <w:style w:type="character" w:customStyle="1" w:styleId="QuoteChar">
    <w:name w:val="Quote Char"/>
    <w:basedOn w:val="DefaultParagraphFont"/>
    <w:link w:val="Quote"/>
    <w:uiPriority w:val="29"/>
    <w:rsid w:val="0047118A"/>
    <w:rPr>
      <w:i/>
      <w:iCs/>
      <w:color w:val="404040" w:themeColor="text1" w:themeTint="BF"/>
    </w:rPr>
  </w:style>
  <w:style w:type="paragraph" w:styleId="ListParagraph">
    <w:name w:val="List Paragraph"/>
    <w:basedOn w:val="Normal"/>
    <w:uiPriority w:val="34"/>
    <w:qFormat/>
    <w:rsid w:val="0047118A"/>
    <w:pPr>
      <w:ind w:left="720"/>
      <w:contextualSpacing/>
    </w:pPr>
  </w:style>
  <w:style w:type="character" w:styleId="IntenseEmphasis">
    <w:name w:val="Intense Emphasis"/>
    <w:basedOn w:val="DefaultParagraphFont"/>
    <w:uiPriority w:val="21"/>
    <w:qFormat/>
    <w:rsid w:val="0047118A"/>
    <w:rPr>
      <w:i/>
      <w:iCs/>
      <w:color w:val="0F4761" w:themeColor="accent1" w:themeShade="BF"/>
    </w:rPr>
  </w:style>
  <w:style w:type="paragraph" w:styleId="IntenseQuote">
    <w:name w:val="Intense Quote"/>
    <w:basedOn w:val="Normal"/>
    <w:next w:val="Normal"/>
    <w:link w:val="IntenseQuoteChar"/>
    <w:uiPriority w:val="30"/>
    <w:qFormat/>
    <w:rsid w:val="00471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18A"/>
    <w:rPr>
      <w:i/>
      <w:iCs/>
      <w:color w:val="0F4761" w:themeColor="accent1" w:themeShade="BF"/>
    </w:rPr>
  </w:style>
  <w:style w:type="character" w:styleId="IntenseReference">
    <w:name w:val="Intense Reference"/>
    <w:basedOn w:val="DefaultParagraphFont"/>
    <w:uiPriority w:val="32"/>
    <w:qFormat/>
    <w:rsid w:val="0047118A"/>
    <w:rPr>
      <w:b/>
      <w:bCs/>
      <w:smallCaps/>
      <w:color w:val="0F4761" w:themeColor="accent1" w:themeShade="BF"/>
      <w:spacing w:val="5"/>
    </w:rPr>
  </w:style>
  <w:style w:type="paragraph" w:styleId="Header">
    <w:name w:val="header"/>
    <w:basedOn w:val="Normal"/>
    <w:link w:val="HeaderChar"/>
    <w:uiPriority w:val="99"/>
    <w:unhideWhenUsed/>
    <w:rsid w:val="005B2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33F"/>
  </w:style>
  <w:style w:type="paragraph" w:styleId="Footer">
    <w:name w:val="footer"/>
    <w:basedOn w:val="Normal"/>
    <w:link w:val="FooterChar"/>
    <w:uiPriority w:val="99"/>
    <w:unhideWhenUsed/>
    <w:rsid w:val="005B2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14617">
      <w:bodyDiv w:val="1"/>
      <w:marLeft w:val="0"/>
      <w:marRight w:val="0"/>
      <w:marTop w:val="0"/>
      <w:marBottom w:val="0"/>
      <w:divBdr>
        <w:top w:val="none" w:sz="0" w:space="0" w:color="auto"/>
        <w:left w:val="none" w:sz="0" w:space="0" w:color="auto"/>
        <w:bottom w:val="none" w:sz="0" w:space="0" w:color="auto"/>
        <w:right w:val="none" w:sz="0" w:space="0" w:color="auto"/>
      </w:divBdr>
    </w:div>
    <w:div w:id="117437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417</Words>
  <Characters>2272</Characters>
  <Application>Microsoft Office Word</Application>
  <DocSecurity>4</DocSecurity>
  <Lines>64</Lines>
  <Paragraphs>24</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Dillon</dc:creator>
  <cp:keywords/>
  <dc:description/>
  <cp:lastModifiedBy>Lenz, Jessica</cp:lastModifiedBy>
  <cp:revision>2</cp:revision>
  <dcterms:created xsi:type="dcterms:W3CDTF">2025-06-06T14:00:00Z</dcterms:created>
  <dcterms:modified xsi:type="dcterms:W3CDTF">2025-06-06T14:00:00Z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cb7dbafa-f052-45b1-b4a6-f746273d1a2a</vt:lpwstr>
  </property>
</Properties>
</file>